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51" w:rsidRDefault="00323651" w:rsidP="00323651">
      <w:pPr>
        <w:spacing w:after="0" w:line="240" w:lineRule="auto"/>
        <w:jc w:val="center"/>
        <w:rPr>
          <w:b/>
        </w:rPr>
      </w:pPr>
      <w:r>
        <w:rPr>
          <w:b/>
        </w:rPr>
        <w:t>CERTIFICADO DE AUDITORIA</w:t>
      </w:r>
      <w:r w:rsidRPr="00323651">
        <w:rPr>
          <w:b/>
        </w:rPr>
        <w:t xml:space="preserve"> </w:t>
      </w:r>
    </w:p>
    <w:p w:rsidR="00327E36" w:rsidRDefault="00323651" w:rsidP="00323651">
      <w:pPr>
        <w:spacing w:after="0" w:line="240" w:lineRule="auto"/>
        <w:jc w:val="center"/>
        <w:rPr>
          <w:b/>
        </w:rPr>
      </w:pPr>
      <w:r w:rsidRPr="00323651">
        <w:rPr>
          <w:b/>
        </w:rPr>
        <w:t>Período: Janeiro de 2021 a 31 de março de 2025</w:t>
      </w:r>
    </w:p>
    <w:p w:rsidR="00323651" w:rsidRPr="00323651" w:rsidRDefault="00323651" w:rsidP="00323651">
      <w:pPr>
        <w:spacing w:after="0" w:line="240" w:lineRule="auto"/>
        <w:jc w:val="center"/>
        <w:rPr>
          <w:b/>
        </w:rPr>
      </w:pPr>
    </w:p>
    <w:p w:rsidR="002B1B6B" w:rsidRDefault="00323651" w:rsidP="002B1B6B">
      <w:pPr>
        <w:spacing w:line="240" w:lineRule="auto"/>
        <w:jc w:val="both"/>
      </w:pPr>
      <w:r>
        <w:t xml:space="preserve">A Humaitá Auditores Independentes Ltda., </w:t>
      </w:r>
      <w:r w:rsidRPr="00323651">
        <w:rPr>
          <w:rFonts w:eastAsia="Times New Roman" w:cs="Calibri"/>
          <w:bCs/>
          <w:szCs w:val="24"/>
          <w:lang w:eastAsia="pt-BR"/>
        </w:rPr>
        <w:t>pessoa jurídica de direito privado, inscrita no CNPJ sob o nº 10.693.082/0001-50</w:t>
      </w:r>
      <w:r>
        <w:rPr>
          <w:rFonts w:eastAsia="Times New Roman" w:cs="Calibri"/>
          <w:bCs/>
          <w:szCs w:val="24"/>
          <w:lang w:eastAsia="pt-BR"/>
        </w:rPr>
        <w:t xml:space="preserve"> e </w:t>
      </w:r>
      <w:r>
        <w:t xml:space="preserve">registrada no Conselho Regional de Contabilidade sob o nº 004611/O-0, certifica, para os devidos fins, que conduziu trabalhos de auditoria </w:t>
      </w:r>
      <w:r>
        <w:t xml:space="preserve">na </w:t>
      </w:r>
      <w:r w:rsidRPr="00323651">
        <w:rPr>
          <w:rFonts w:eastAsia="Times New Roman" w:cs="Calibri"/>
          <w:b/>
          <w:szCs w:val="24"/>
          <w:lang w:eastAsia="pt-BR"/>
        </w:rPr>
        <w:t xml:space="preserve">ASSOCIAÇÃO NACIONAL DOS APOSENTADOS E PENSIONISTAS DO IBGE </w:t>
      </w:r>
      <w:r>
        <w:rPr>
          <w:rFonts w:eastAsia="Times New Roman" w:cs="Calibri"/>
          <w:b/>
          <w:szCs w:val="24"/>
          <w:lang w:eastAsia="pt-BR"/>
        </w:rPr>
        <w:t>-</w:t>
      </w:r>
      <w:r w:rsidRPr="00323651">
        <w:rPr>
          <w:rFonts w:eastAsia="Times New Roman" w:cs="Calibri"/>
          <w:b/>
          <w:szCs w:val="24"/>
          <w:lang w:eastAsia="pt-BR"/>
        </w:rPr>
        <w:t xml:space="preserve"> DAPIBGE, </w:t>
      </w:r>
      <w:r w:rsidRPr="00323651">
        <w:rPr>
          <w:rFonts w:eastAsia="Times New Roman" w:cs="Calibri"/>
          <w:bCs/>
          <w:szCs w:val="24"/>
          <w:lang w:eastAsia="pt-BR"/>
        </w:rPr>
        <w:t>Associação de direito privado,</w:t>
      </w:r>
      <w:r w:rsidRPr="00323651">
        <w:rPr>
          <w:rFonts w:eastAsia="Times New Roman" w:cs="Calibri"/>
          <w:b/>
          <w:bCs/>
          <w:szCs w:val="24"/>
          <w:lang w:eastAsia="pt-BR"/>
        </w:rPr>
        <w:t xml:space="preserve"> </w:t>
      </w:r>
      <w:r w:rsidRPr="00323651">
        <w:rPr>
          <w:rFonts w:eastAsia="Times New Roman" w:cs="Calibri"/>
          <w:bCs/>
          <w:szCs w:val="24"/>
          <w:lang w:eastAsia="pt-BR"/>
        </w:rPr>
        <w:t xml:space="preserve">inscrita no CNPJ sob o nº </w:t>
      </w:r>
      <w:r>
        <w:rPr>
          <w:rFonts w:eastAsia="Times New Roman" w:cs="Calibri"/>
          <w:bCs/>
          <w:szCs w:val="24"/>
          <w:lang w:eastAsia="pt-BR"/>
        </w:rPr>
        <w:t>05.</w:t>
      </w:r>
      <w:r w:rsidRPr="00323651">
        <w:rPr>
          <w:rFonts w:eastAsia="Times New Roman" w:cs="Calibri"/>
          <w:bCs/>
          <w:szCs w:val="24"/>
          <w:lang w:eastAsia="pt-BR"/>
        </w:rPr>
        <w:t>524.559</w:t>
      </w:r>
      <w:r w:rsidRPr="00323651">
        <w:rPr>
          <w:rFonts w:eastAsia="Times New Roman" w:cs="Calibri"/>
          <w:bCs/>
          <w:szCs w:val="24"/>
          <w:lang w:eastAsia="pt-BR"/>
        </w:rPr>
        <w:t>/0001-34</w:t>
      </w:r>
      <w:r>
        <w:rPr>
          <w:rFonts w:eastAsia="Times New Roman" w:cs="Calibri"/>
          <w:bCs/>
          <w:szCs w:val="24"/>
          <w:lang w:eastAsia="pt-BR"/>
        </w:rPr>
        <w:t>,</w:t>
      </w:r>
      <w:r>
        <w:t xml:space="preserve"> abrangendo o período compreendido entre 1º de</w:t>
      </w:r>
      <w:r>
        <w:t xml:space="preserve"> janeiro de 2021 e 31 de março de 2025.</w:t>
      </w:r>
    </w:p>
    <w:p w:rsidR="002B1B6B" w:rsidRDefault="00323651" w:rsidP="002B1B6B">
      <w:pPr>
        <w:spacing w:line="240" w:lineRule="auto"/>
        <w:jc w:val="both"/>
      </w:pPr>
      <w:r>
        <w:t>Durante os ciclos iniciais de avaliação, anterior ao exercício de 2021,</w:t>
      </w:r>
      <w:r>
        <w:t xml:space="preserve"> identificou-se um ambiente organizacional com fragilidades sig</w:t>
      </w:r>
      <w:r>
        <w:t>nificativas no que tange à governança, à conformidade documental e aos controles internos, o que limitava o escopo do trabalho técnico à aplicação de procedimentos previamente acordados. Naquela fase, constataram-se recorrentes irregularidades operacionais</w:t>
      </w:r>
      <w:r>
        <w:t>, tais como: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Execução de pagamentos sem suporte contratual ou fiscal, tanto para pessoas físicas quanto jurídicas;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Ausência de prestação de contas em processos de reembolso e adiantamentos;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Inexistência de processos formais de cotação para compras e</w:t>
      </w:r>
      <w:r>
        <w:t xml:space="preserve"> serviços;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Pagamentos de obrigações trabalhistas e encargos sem respaldo documental;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Reembolsos e repasses sem identificação adequada dos beneficiários;</w:t>
      </w:r>
      <w:r w:rsidR="002B1B6B">
        <w:t xml:space="preserve"> e </w:t>
      </w:r>
    </w:p>
    <w:p w:rsidR="002B1B6B" w:rsidRDefault="00323651" w:rsidP="002B1B6B">
      <w:pPr>
        <w:pStyle w:val="PargrafodaLista"/>
        <w:numPr>
          <w:ilvl w:val="0"/>
          <w:numId w:val="12"/>
        </w:numPr>
        <w:spacing w:before="240" w:after="240" w:line="240" w:lineRule="auto"/>
        <w:ind w:left="426" w:hanging="142"/>
        <w:contextualSpacing w:val="0"/>
        <w:jc w:val="both"/>
      </w:pPr>
      <w:r>
        <w:t>Ausência de vínculo associativo documenta</w:t>
      </w:r>
      <w:r w:rsidR="002B1B6B">
        <w:t>do em pagamentos a celetistas.</w:t>
      </w:r>
    </w:p>
    <w:p w:rsidR="002B1B6B" w:rsidRDefault="00323651" w:rsidP="002B1B6B">
      <w:pPr>
        <w:spacing w:line="240" w:lineRule="auto"/>
        <w:jc w:val="both"/>
      </w:pPr>
      <w:r>
        <w:t xml:space="preserve">Diante desse cenário, a </w:t>
      </w:r>
      <w:r>
        <w:t>entidade iniciou, a partir do segundo semestre de 2021</w:t>
      </w:r>
      <w:r>
        <w:t>, um robusto processo de reestruturação institucional, adotando práticas de governança mais eficazes e alinhadas às normas contábeis e aos princípios de integridade,</w:t>
      </w:r>
      <w:r w:rsidR="002B1B6B">
        <w:t xml:space="preserve"> economicidade e transparência.</w:t>
      </w:r>
    </w:p>
    <w:p w:rsidR="002B1B6B" w:rsidRDefault="00323651" w:rsidP="002B1B6B">
      <w:pPr>
        <w:pStyle w:val="PargrafodaLista"/>
        <w:spacing w:before="240" w:after="240" w:line="240" w:lineRule="auto"/>
        <w:ind w:left="0"/>
        <w:contextualSpacing w:val="0"/>
        <w:jc w:val="both"/>
      </w:pPr>
      <w:r>
        <w:t>Como marcos relevantes de</w:t>
      </w:r>
      <w:r>
        <w:t>ssa transformação, destacam-se: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3"/>
        </w:numPr>
        <w:spacing w:before="240" w:after="240" w:line="240" w:lineRule="auto"/>
        <w:ind w:left="426" w:hanging="142"/>
        <w:contextualSpacing w:val="0"/>
        <w:jc w:val="both"/>
      </w:pPr>
      <w:r>
        <w:t>A elaboração e implementação de manuais de procedimentos administrativos e financeiros;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3"/>
        </w:numPr>
        <w:spacing w:before="240" w:after="240" w:line="240" w:lineRule="auto"/>
        <w:ind w:left="426" w:hanging="142"/>
        <w:contextualSpacing w:val="0"/>
        <w:jc w:val="both"/>
      </w:pPr>
      <w:r>
        <w:t>O estabelecimento de rotinas formais para adiantamentos, reembolsos e contratações;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3"/>
        </w:numPr>
        <w:spacing w:before="240" w:after="240" w:line="240" w:lineRule="auto"/>
        <w:ind w:left="426" w:hanging="142"/>
        <w:contextualSpacing w:val="0"/>
        <w:jc w:val="both"/>
      </w:pPr>
      <w:r>
        <w:t>O aperfeiçoamento dos registros contábeis, co</w:t>
      </w:r>
      <w:r>
        <w:t>m controles sobre numerários, ativos imobilizados e provisões;</w:t>
      </w:r>
      <w:r w:rsidR="002B1B6B">
        <w:t xml:space="preserve"> </w:t>
      </w:r>
    </w:p>
    <w:p w:rsidR="002B1B6B" w:rsidRDefault="00323651" w:rsidP="002B1B6B">
      <w:pPr>
        <w:pStyle w:val="PargrafodaLista"/>
        <w:numPr>
          <w:ilvl w:val="0"/>
          <w:numId w:val="13"/>
        </w:numPr>
        <w:spacing w:before="240" w:after="240" w:line="240" w:lineRule="auto"/>
        <w:ind w:left="426" w:hanging="142"/>
        <w:contextualSpacing w:val="0"/>
        <w:jc w:val="both"/>
      </w:pPr>
      <w:r>
        <w:t xml:space="preserve">A conformidade com os princípios contábeis aplicáveis às entidades sem fins lucrativos, conforme definido pela ITG 2002 (R1) e demais </w:t>
      </w:r>
      <w:proofErr w:type="spellStart"/>
      <w:r>
        <w:t>NBCs</w:t>
      </w:r>
      <w:proofErr w:type="spellEnd"/>
      <w:r>
        <w:t>;</w:t>
      </w:r>
      <w:r w:rsidR="002B1B6B">
        <w:t xml:space="preserve"> e</w:t>
      </w:r>
    </w:p>
    <w:p w:rsidR="002B1B6B" w:rsidRDefault="00323651" w:rsidP="002B1B6B">
      <w:pPr>
        <w:pStyle w:val="PargrafodaLista"/>
        <w:numPr>
          <w:ilvl w:val="0"/>
          <w:numId w:val="13"/>
        </w:numPr>
        <w:spacing w:before="240" w:after="240" w:line="240" w:lineRule="auto"/>
        <w:ind w:left="426" w:hanging="142"/>
        <w:contextualSpacing w:val="0"/>
        <w:jc w:val="both"/>
      </w:pPr>
      <w:r>
        <w:t>O fortalecimento da governança por meio de segreg</w:t>
      </w:r>
      <w:r>
        <w:t>ação de funções, definição clara de competências e incremento dos instrumentos de controle interno.</w:t>
      </w:r>
    </w:p>
    <w:p w:rsidR="00323651" w:rsidRDefault="00323651" w:rsidP="002B1B6B">
      <w:pPr>
        <w:spacing w:before="240" w:after="240" w:line="240" w:lineRule="auto"/>
        <w:jc w:val="both"/>
      </w:pPr>
      <w:r>
        <w:lastRenderedPageBreak/>
        <w:t>Em razão dessas melhorias estruturais, a entidade passou a reunir as condições técnicas e operacionais necessárias para que, no exercício findo em 31 de de</w:t>
      </w:r>
      <w:r>
        <w:t xml:space="preserve">zembro de 2024, a auditoria independente pudesse ser conduzida segundo os padrões profissionais completos e resultar em emissão de parecer sem ressalvas. </w:t>
      </w:r>
    </w:p>
    <w:p w:rsidR="00323651" w:rsidRDefault="00323651" w:rsidP="002B1B6B">
      <w:pPr>
        <w:spacing w:before="240" w:after="240" w:line="240" w:lineRule="auto"/>
        <w:jc w:val="both"/>
      </w:pPr>
      <w:r>
        <w:t>Tal emissão reflete, de forma objetiva, que as demonstrações contábeis da DAPIBGE representam adequad</w:t>
      </w:r>
      <w:r>
        <w:t xml:space="preserve">amente sua posição patrimonial, financeira e o desempenho de suas atividades, em conformidade com as práticas contábeis adotadas no Brasil para entidades do terceiro setor. </w:t>
      </w:r>
    </w:p>
    <w:p w:rsidR="00323651" w:rsidRDefault="00323651" w:rsidP="002B1B6B">
      <w:pPr>
        <w:spacing w:before="240" w:after="240" w:line="240" w:lineRule="auto"/>
        <w:jc w:val="both"/>
      </w:pPr>
      <w:r>
        <w:t xml:space="preserve">A transição de um ambiente anteriormente não </w:t>
      </w:r>
      <w:proofErr w:type="spellStart"/>
      <w:r>
        <w:t>auditável</w:t>
      </w:r>
      <w:proofErr w:type="spellEnd"/>
      <w:r>
        <w:t xml:space="preserve"> para um cenário de regulari</w:t>
      </w:r>
      <w:r>
        <w:t xml:space="preserve">dade, controle e confiabilidade é um indicativo inequívoco do comprometimento da atual gestão com a governança responsável e com a aplicação ética e transparente dos recursos da entidade. </w:t>
      </w:r>
    </w:p>
    <w:p w:rsidR="00323651" w:rsidRDefault="00323651" w:rsidP="002B1B6B">
      <w:pPr>
        <w:spacing w:before="240" w:after="240" w:line="240" w:lineRule="auto"/>
        <w:jc w:val="both"/>
      </w:pPr>
      <w:r>
        <w:t>Este certificado é emitido para apresentação ao Presidente, ao Cons</w:t>
      </w:r>
      <w:r>
        <w:t xml:space="preserve">elho Diretivo e ao Conselho Fiscal da entidade, como testemunho técnico da evolução institucional verificada </w:t>
      </w:r>
      <w:r>
        <w:t xml:space="preserve">e do estágio de maturidade alcançado no período auditado. </w:t>
      </w:r>
    </w:p>
    <w:p w:rsidR="00323651" w:rsidRDefault="00323651" w:rsidP="002B1B6B">
      <w:pPr>
        <w:spacing w:line="240" w:lineRule="auto"/>
        <w:rPr>
          <w:b/>
        </w:rPr>
      </w:pPr>
      <w:r>
        <w:t>R</w:t>
      </w:r>
      <w:r>
        <w:t>io de Janeiro, 2 de junho de 2025.</w:t>
      </w:r>
      <w:r>
        <w:br/>
      </w:r>
      <w:r>
        <w:br/>
      </w:r>
    </w:p>
    <w:p w:rsidR="00323651" w:rsidRDefault="00323651" w:rsidP="002B1B6B">
      <w:pPr>
        <w:spacing w:line="240" w:lineRule="auto"/>
        <w:rPr>
          <w:b/>
        </w:rPr>
      </w:pPr>
    </w:p>
    <w:p w:rsidR="00323651" w:rsidRDefault="00323651" w:rsidP="002B1B6B">
      <w:pPr>
        <w:spacing w:line="240" w:lineRule="auto"/>
      </w:pPr>
      <w:bookmarkStart w:id="0" w:name="_GoBack"/>
      <w:bookmarkEnd w:id="0"/>
      <w:r>
        <w:rPr>
          <w:b/>
        </w:rPr>
        <w:t>Humaitá Auditores Independentes Ltda.</w:t>
      </w:r>
      <w:r>
        <w:rPr>
          <w:b/>
        </w:rPr>
        <w:br/>
      </w:r>
      <w:r>
        <w:t>CRC RJ 00461</w:t>
      </w:r>
      <w:r>
        <w:t>1/O-0</w:t>
      </w:r>
      <w:r>
        <w:br/>
      </w:r>
    </w:p>
    <w:p w:rsidR="00323651" w:rsidRDefault="00323651" w:rsidP="002B1B6B">
      <w:pPr>
        <w:spacing w:line="240" w:lineRule="auto"/>
      </w:pPr>
    </w:p>
    <w:p w:rsidR="00327E36" w:rsidRDefault="00323651" w:rsidP="002B1B6B">
      <w:pPr>
        <w:spacing w:line="240" w:lineRule="auto"/>
      </w:pPr>
      <w:r>
        <w:t>Antonio Ranha da Silva – Contador</w:t>
      </w:r>
      <w:r>
        <w:br/>
        <w:t>CRC RJ 075.150/O-8</w:t>
      </w:r>
    </w:p>
    <w:sectPr w:rsidR="00327E36" w:rsidSect="00323651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6B0402"/>
    <w:multiLevelType w:val="hybridMultilevel"/>
    <w:tmpl w:val="F474C9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72B6"/>
    <w:multiLevelType w:val="hybridMultilevel"/>
    <w:tmpl w:val="0930CB10"/>
    <w:lvl w:ilvl="0" w:tplc="BDDAED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0C6C"/>
    <w:multiLevelType w:val="hybridMultilevel"/>
    <w:tmpl w:val="85C8B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D0F97"/>
    <w:multiLevelType w:val="hybridMultilevel"/>
    <w:tmpl w:val="0930CB10"/>
    <w:lvl w:ilvl="0" w:tplc="BDDAED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B1B6B"/>
    <w:rsid w:val="00323651"/>
    <w:rsid w:val="00326F90"/>
    <w:rsid w:val="00327E36"/>
    <w:rsid w:val="00AA1D8D"/>
    <w:rsid w:val="00B47730"/>
    <w:rsid w:val="00CB0664"/>
    <w:rsid w:val="00E00C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B1E9832-57B0-4DE3-95A0-A373A9A4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Calibri" w:hAnsi="Calibri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ED7DF-F8E2-4DDD-B813-5347565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Prof. Ranha</cp:lastModifiedBy>
  <cp:revision>3</cp:revision>
  <dcterms:created xsi:type="dcterms:W3CDTF">2025-06-02T15:08:00Z</dcterms:created>
  <dcterms:modified xsi:type="dcterms:W3CDTF">2025-06-02T15:27:00Z</dcterms:modified>
  <cp:category/>
</cp:coreProperties>
</file>